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Druhý cizí jazyk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256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Hlavním cílem předmětu je naučit žáky základní komunikaci v druhém cizím jazyce.  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 rámci předmětu si studenti osvojují schopnost rozumět konkrétním informacím v jednoduchém, zřetelně pronášeném mluveném projevu, identifikovat klíčové myšlenky v psaných i mluvených textech a zaznamenávat důležité informace. Důraz je kladen na porozumění instrukcím a jejich následnou aplikaci v různých aktivitách.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Studenti se učí ústně i písemně vyjadřovat své myšlenky týkající se každodenního života a jejich odborných zájmů. Předmět rozvíjí schopnost zapojovat se do dialogů, simulací reálných situací a psát krátké, souvislé texty. Důležitou součástí je také spolupráce s učitelem a spolužáky na zpětné vazbě pro zlepšení plynulosti a přesnosti jazykového projevu.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konkrétním informacím v jednoduchém mluveném projevu, který je pronášen zřetelně a týká se osvojovaných témat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identifikuje klíčové informace v mluveném projevu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zaznamená v mluveném projevu některé další detaily k poskytnutým informacím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rozvíjí postupně svou schopnost využívat jazykové prostředky vyšší úrovně prostřednictvím prezentace ukázek textů</w:t>
            </w:r>
          </w:p>
          <w:p w:rsidR="00000000" w:rsidDel="00000000" w:rsidP="00000000" w:rsidRDefault="00000000" w:rsidRPr="00000000" w14:paraId="00000017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rozpozná téma a hlavní myšlenku mluveného projevu, který je pronášen zřetelně a týká se osvojovaných témat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rozumí slyšeným monologům i dialogům, které souvisejí s osvojovanými tématy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porozumí obsahu slyšeného textu, např. zjištěním konkrétních informací, zaznamenáním klíčových slov, přiřazením nadpisu, zaznamenáním informací do tabulky, mapy, odpovídáním na otázky, převyprávěním základních informací z textu</w:t>
            </w:r>
          </w:p>
          <w:p w:rsidR="00000000" w:rsidDel="00000000" w:rsidP="00000000" w:rsidRDefault="00000000" w:rsidRPr="00000000" w14:paraId="0000001A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sledu instrukcí, které jsou sdělovány zřetelně a týkají se osvojovaných témat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rozumí instrukcím ve vyučovací hodině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postupuje podle zadání instrukcí pro postup při různých aktivitách – např. k tématu „jídlo“ se mohou vztahovat pokyny pro přípravu jednoduchého jídla, k tématu „cestování“ pokyny pro navigaci ve městě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demonstruje porozumění různým způsobem, např. provedením pokynů nebo uspořádáním obrázků na pracovním listu</w:t>
            </w:r>
          </w:p>
          <w:p w:rsidR="00000000" w:rsidDel="00000000" w:rsidP="00000000" w:rsidRDefault="00000000" w:rsidRPr="00000000" w14:paraId="0000001E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hlavním myšlenkám krátkých psaných textů týkajících se každodenních témat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vybere vhodný nadpis k textu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přiřadí text k obrázku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formuluje hlavní myšlenky odstavce, textu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uspořádá jednotlivé částí textu tak, aby vznikl smysluplný příběh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pracuje s ukázkami autentických zdrojů – např. jídelní lístek, leták, plakát, webová stránka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vyhledává konkrétní informace v různých zdrojích</w:t>
            </w:r>
          </w:p>
          <w:p w:rsidR="00000000" w:rsidDel="00000000" w:rsidP="00000000" w:rsidRDefault="00000000" w:rsidRPr="00000000" w14:paraId="00000025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jednoduchým mluveným i psaným příběhům, které obsahují známé konkrétní situace a běžnou slovní zásobu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vyhledává požadované informace na základě konkrétního zadání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různé typy poslechových aktivit: doplňování do textu, výběr z možných odpovědí, zaznamenávání informace do tabulky/grafu/obrázku/mapy, zvažování a rozvíjení myšlenek, řešení problémů, překlad</w:t>
            </w:r>
          </w:p>
          <w:p w:rsidR="00000000" w:rsidDel="00000000" w:rsidP="00000000" w:rsidRDefault="00000000" w:rsidRPr="00000000" w14:paraId="00000028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vyjadřuje ústně i písemně myšlenky týkající se osvojovaných témat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formuluje myšlenky z oblasti každodenního života a jeho odborného zájmu v ústní i písemné formě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odpovídá na otázky, zapojuje se do dialogů, účastní se simulací reálných situací, píše krátké texty a plní další komunikativní aktivity týkající se osvojovaných témat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spolupracuje s učitelem a spolužáky na zpětné vazbě ohledně plynulosti a přesnosti jazykového projevu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představí v jednoduchých větách téma z oblasti svého zájmu</w:t>
            </w:r>
          </w:p>
          <w:p w:rsidR="00000000" w:rsidDel="00000000" w:rsidP="00000000" w:rsidRDefault="00000000" w:rsidRPr="00000000" w14:paraId="0000002D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vypráví jednoduché příběhy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vypráví krátké příběhy a používá v nich vhodné spojovací výrazy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 a poslouchá příběhy k rozšíření svých narativních dovedností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získává zkušenosti s tvorbou struktury příběhu a osvojuje si spojovací výrazy pro zajištění jeho soudržnosti</w:t>
            </w:r>
          </w:p>
          <w:p w:rsidR="00000000" w:rsidDel="00000000" w:rsidP="00000000" w:rsidRDefault="00000000" w:rsidRPr="00000000" w14:paraId="00000031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napíše krátký jednoduchý text týkající se osvojovaných témat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píše texty s formální a obsahovou strukturou dle potřeby různých typů textů (např. čísluje části textu v logickém pořadí nebo porovnává tematicky podobné texty lišící se kvalitou formy a obsahu)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tvoří krátké souvislé psané texty (v rámci skupinové, párové i samostatné aktivity)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postupně zvyšuje přesnost i komplexnost svého jazykového projevu prostřednictvím sebehodnocení a průběžné zpětné vazby</w:t>
            </w:r>
          </w:p>
          <w:p w:rsidR="00000000" w:rsidDel="00000000" w:rsidP="00000000" w:rsidRDefault="00000000" w:rsidRPr="00000000" w14:paraId="00000035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účastní se rozhovorů týkajících se minulosti, přítomnosti a budoucnosti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zapojí se do dialogů zaměřených na vyjádření minulých, přítomných a budoucích aktivit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účastní se simulací, her rolí a dalších komunikativních aktivit, ve kterých mluví o svých vzpomínkách, přítomných aktivitách a budoucích plánech</w:t>
            </w:r>
          </w:p>
          <w:p w:rsidR="00000000" w:rsidDel="00000000" w:rsidP="00000000" w:rsidRDefault="00000000" w:rsidRPr="00000000" w14:paraId="00000038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plní pokyny a podle potřeby se dotazuje, aby si ověřil porozumění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aktivně se zapojuje do aktivit, které vyžadují interakci a dotazy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požádá o pokyny v různých situacích (např. orientace v neznámém městě, řešení problému) a podobným pokynům porozumí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své dosavadní zkušenosti v krátkých rozhovorech a při vytváření otázek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přechází od simulací a rolí k praktickému použití nabytých dovedností v běžných situacích mimo učebnu (např. účast na projektech, mobilitách)</w:t>
            </w:r>
          </w:p>
          <w:p w:rsidR="00000000" w:rsidDel="00000000" w:rsidP="00000000" w:rsidRDefault="00000000" w:rsidRPr="00000000" w14:paraId="0000003D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požádá ústně i písemně o pomoc, radu nebo instrukci a na podobné požadavky reaguje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požádá o pomoc, radu či instrukci v rámci komunikativních aktivit průběžně zařazených do výuky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prakticky využívá své dosavadní zkušenosti v krátkých rozhovorech a vytváření otázek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zapojuje se do simulací a her, které umožňují praktické využití dosavadních dovedností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požádá své spolužáky nebo učitele o pomoc, radu či instrukci - napíše krátké komentáře a reakce na příspěvky jiných uživatelů webových stránek, sociálních sítí apod.; v online komunikaci se vyjadřuje jasně a respektuje názory ostatních</w:t>
            </w:r>
          </w:p>
          <w:p w:rsidR="00000000" w:rsidDel="00000000" w:rsidP="00000000" w:rsidRDefault="00000000" w:rsidRPr="00000000" w14:paraId="00000042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vyjádří ústně i písemně pozvání, návrh a omluvu a na tyto podněty reaguje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vhodné fráze a další slovní zásobu pro vyjádření pozvání, návrhu a omluvy a vhodně na tyto podněty reaguje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fráze a další slovní zásobu běžnou v pozvánkách, návrzích a omluvách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píše krátké texty a účastní se ústních komunikačních aktivit, ve kterých používá osvojené jazykové prostředky pro konkrétní jazykové funkce</w:t>
            </w:r>
          </w:p>
          <w:p w:rsidR="00000000" w:rsidDel="00000000" w:rsidP="00000000" w:rsidRDefault="00000000" w:rsidRPr="00000000" w14:paraId="00000046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vyjádří ústně i písemně názor, zeptá se na názor jiné osoby, reaguje na cizí názor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sdílí své názory v krátkých interakcích průběžně zařazovaných do výuky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píše krátké texty, ve kterých vyjadřuje svůj názor, s respektem reaguje na cizí názor</w:t>
            </w:r>
          </w:p>
          <w:p w:rsidR="00000000" w:rsidDel="00000000" w:rsidP="00000000" w:rsidRDefault="00000000" w:rsidRPr="00000000" w14:paraId="00000049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zprostředkuje hlavní myšlenku a/nebo klíčové informace z jednoduchých psaných textů, které se týkají osvojovaných témat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hlavní myšlenky a klíčové informace ve slyšeném projevu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zpracuje a utřídí informace, srozumitelně sdělí informaci v ústní nebo psané podobě dalším osobám</w:t>
            </w:r>
          </w:p>
          <w:p w:rsidR="00000000" w:rsidDel="00000000" w:rsidP="00000000" w:rsidRDefault="00000000" w:rsidRPr="00000000" w14:paraId="0000004C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zprostředkuje hlavní myšlenku a/nebo klíčové informace slyšeného o osvojovaných tématech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hlavní myšlenky a klíčové informace ve slyšeném projevu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zpracuje a utřídí informace, srozumitelně sdělí informaci v ústní nebo psané podobě dalším osobám</w:t>
            </w:r>
          </w:p>
          <w:p w:rsidR="00000000" w:rsidDel="00000000" w:rsidP="00000000" w:rsidRDefault="00000000" w:rsidRPr="00000000" w14:paraId="0000004F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využívá svůj repertoár v různých jazycích, aby vysvětlil/a problém, požádal/a o pomoc nebo vysvětlení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získané fráze v autentických situacích, například formuluje jednoduché žádosti o pomoc nebo vysvětlení v různých jazycích při rozhovoru nebo při práci na projektu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vyžádá si dodatečné informace nebo vysvětlení, například v situaci, kdy potřebuje lepší porozumění nebo řešení problému, použije fráze k žádosti o objasnění nebo pomoc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efektivně svůj repertoár v různých jazycích k vysvětlení problému, žádosti o pomoc nebo podání vysvětlení, a to v mluvené i psané podobě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různé jazykové prostředky, aby poskytl/a jasné a srozumitelné vysvětlení včetně použití jazyka přizpůsobeného kontextu a posluchačům</w:t>
            </w:r>
          </w:p>
          <w:p w:rsidR="00000000" w:rsidDel="00000000" w:rsidP="00000000" w:rsidRDefault="00000000" w:rsidRPr="00000000" w14:paraId="00000054">
            <w:pPr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5D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5F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62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Gramatika a jazykové prostředky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slovesné časy (přítomný čas).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Tvorba jednoduchých vět, otázek a záporu.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předložky místa a času.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Osobní a přivlastňovací zájmena.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Číslovky.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spacing w:line="257" w:lineRule="auto"/>
              <w:ind w:left="924" w:right="204.3307086614186" w:hanging="357"/>
            </w:pPr>
            <w:r w:rsidDel="00000000" w:rsidR="00000000" w:rsidRPr="00000000">
              <w:rPr>
                <w:rtl w:val="0"/>
              </w:rPr>
              <w:t xml:space="preserve">Vyjadřování času a používání frekvenčních příslovcí (např. vždy, někdy, nikdy).</w:t>
            </w:r>
          </w:p>
          <w:p w:rsidR="00000000" w:rsidDel="00000000" w:rsidP="00000000" w:rsidRDefault="00000000" w:rsidRPr="00000000" w14:paraId="00000069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Tematické okruhy a komunikační dovednosti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Osobní údaje a vztahy: Vlastní charakteristika: osobní zájmy. Vztahy s rodinou, přáteli, spolužáky. 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Nakupování a služby: Základní slovní zásoba pro nakupování. Vyjádření cen a množství. Jednoduchá oznámení a pokyny. 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Jídlo a pití: Slovní zásoba k tématu. Objednání v restauraci. Orientování se v jídelním lístku.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Rodina: členové rodiny, domácí mazlíčci.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Volný čas, média a technologie: Volnočasové aktivity, sport, kultura, digitální média. Používání technologií v každodenním životě (mobil, sociální sítě, internet). Oblíbené aktivity, pozvání na společné akce, vyjadřování zájmů a preferencí.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Základní komunikační funkce: Představení sebe a ostatních. Kladení a zodpovídání jednoduchých otázek. Psaní krátkých, jednoduchých textů (např. o sobě, o svém dni).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72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Gramatika a jazykové prostředky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Rozšíření slovesných časů (např. jednoduchý minulý čas dle jazyka).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Stupňování přídavných jmen (základní).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Slovní zásoba pro nakupování potravin, oblečení a běžných potřeb.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Otázky a odpovědi při placení, vyjádření cen a množství.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Tematické okruhy a komunikační dovednosti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Bydlení a prostředí: Typy bydlení, popis vlastního pokoje/bytu. 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spacing w:line="257" w:lineRule="auto"/>
              <w:ind w:left="992.1259842519685" w:right="851" w:hanging="360"/>
            </w:pPr>
            <w:r w:rsidDel="00000000" w:rsidR="00000000" w:rsidRPr="00000000">
              <w:rPr>
                <w:rtl w:val="0"/>
              </w:rPr>
              <w:t xml:space="preserve">Škola a vzdělávání: Školní systém, rozvrh, oblíbené/neoblíbené předměty. Školní akce. Volba povolání.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spacing w:line="257" w:lineRule="auto"/>
              <w:ind w:left="992.1259842519685" w:right="851" w:hanging="360"/>
            </w:pPr>
            <w:r w:rsidDel="00000000" w:rsidR="00000000" w:rsidRPr="00000000">
              <w:rPr>
                <w:rtl w:val="0"/>
              </w:rPr>
              <w:t xml:space="preserve">Cestování a dopravní prostředky: Zkušenosti s cestováním (cesta do školy, výlety, dovolené, výměnné pobyty). Dopravní prostředky a orientace na cestách. Popis oblíbeného města nebo místa. Orientační pokyny ve městě.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line="257" w:lineRule="auto"/>
              <w:ind w:left="992.1259842519685" w:right="851" w:hanging="360"/>
            </w:pPr>
            <w:r w:rsidDel="00000000" w:rsidR="00000000" w:rsidRPr="00000000">
              <w:rPr>
                <w:rtl w:val="0"/>
              </w:rPr>
              <w:t xml:space="preserve">Můj den a moje rutina: Popis denního režimu, rozdíl mezi běžným dnem a víkendem. Příprava na školu, trávení času po vyučování. Popis a srovnání různých denních rytmů.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komunikační funkce: Vyjádření preferencí a názorů. Objednávání a placení. Popsat jednoduchým způsobem své bezprostřední okolí. Pochopení jednoduchých psaných textů (letáky, inzeráty).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7F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Gramatika a jazykové prostředky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Rozšíření slovesných časů.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Tvorba souvětí (základní spojky).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Názvy dopravních prostředků, základní fráze pro cestování a dotazování na cestu, popis směru. </w:t>
            </w:r>
          </w:p>
          <w:p w:rsidR="00000000" w:rsidDel="00000000" w:rsidP="00000000" w:rsidRDefault="00000000" w:rsidRPr="00000000" w14:paraId="00000083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Tematické okruhy a komunikační dovednosti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Cestování a dopravní prostředky: Zkušenosti s cestováním (výlety, dovolené, výměnné pobyty). Dopravní prostředky a orientace na cestách. Popis oblíbeného města nebo místa. Orientační pokyny ve městě.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Nakupování a služby: Pojmenování obchodů a sortimentu. Menu a objednání v restauraci. Jídlo v německy mluvících zemích.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Svět kolem nás a kultura: Svátky, tradice a kulturní události v zemích daného jazyka. Porovnání životního stylu v zemích daného jazyka.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Zdraví a životní styl: Zdravé a nezdravé návyky, pohyb. Oblíbené sporty.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Svátky a oslavy: Popsat svátky u nás a v německy mluvících zemích. Oslava narozenin.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Základní komunikační funkce: Vyprávění jednoduchých příběhů (o cestování, zážitcích). Vyjádření pozvání, návrhu a omluvy a reakce na ně. Psaní krátkých souvislých textů (např. o zážitcích z cest). Žádost o pomoc, radu, instrukci a reakce na ně.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8B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Gramatika a jazykové prostředky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Budoucí čas (vyjádření plánů a předpovědí).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Rozšíření slovní zásoby související s prací a studiem.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odborné pojmy v daném jazyce.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Tematické okruhy a komunikační dovednosti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Cizí jazyk v kontextu budoucí profese: Jednoduchá oznámení, pokyny a rozhovory v pracovním prostředí. Čtení a porozumění jednoduchým textům, jako jsou e-maily, pracovní pokyny, inzeráty, jízdní řády, bezpečnostní značení. Poslech krátkých audio nahrávek (např. rozhovor o pracovním dni, instrukce od nadřízeného).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Digitální svět a média: Online komunikace: výhody a rizika, jazyk na sociálních sítích.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Zdraví a životní styl: Zdravé a nezdravé návyky, pohyb, strava. Jednoduchý popis zdravotních potíží a návštěva lékaře. Prevence a péče o fyzické i psychické zdraví. Sport, cvičení a způsoby upevňování kondice a duševního zdraví.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Móda. Popsat oblíbené oblečení. Vyjádřit, že se něco líbí, nelíbí.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Svět kolem nás a kultura: Film, hudba a kulturní události v německy mluvících zemích. Reálie daných zemí. Bydlení v Česku a německy mluvících zemích.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Budoucnost a změna: Budoucnost – studium, práce, cestování.</w:t>
            </w:r>
          </w:p>
          <w:p w:rsidR="00000000" w:rsidDel="00000000" w:rsidP="00000000" w:rsidRDefault="00000000" w:rsidRPr="00000000" w14:paraId="0000009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problémů s podporou digitálních technologií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(ve vazbě na jednotlivé výsledky učení - vyberte, doplňte)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 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aktivi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ta v hodinách</w:t>
            </w:r>
          </w:p>
          <w:p w:rsidR="00000000" w:rsidDel="00000000" w:rsidP="00000000" w:rsidRDefault="00000000" w:rsidRPr="00000000" w14:paraId="000000A9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  <w:t xml:space="preserve">(co znamená splnění výsledků učení, kdy je splněna celá vyučovací jednotka, kritéria pro známky, příp. procentuální, slovní hodnocení)</w:t>
            </w:r>
          </w:p>
          <w:p w:rsidR="00000000" w:rsidDel="00000000" w:rsidP="00000000" w:rsidRDefault="00000000" w:rsidRPr="00000000" w14:paraId="000000A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A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A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9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A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A03/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Druhý cizí jazyk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